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83" w:rsidRDefault="00892483" w:rsidP="00892483">
      <w:pPr>
        <w:spacing w:line="480" w:lineRule="auto"/>
        <w:jc w:val="center"/>
        <w:rPr>
          <w:rFonts w:ascii="Times New Roman" w:hAnsi="Times New Roman" w:cs="Times New Roman"/>
          <w:sz w:val="24"/>
          <w:szCs w:val="24"/>
        </w:rPr>
      </w:pPr>
      <w:bookmarkStart w:id="0" w:name="_GoBack"/>
      <w:bookmarkEnd w:id="0"/>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F06B8" w:rsidRPr="00892483" w:rsidRDefault="00FC050E" w:rsidP="00892483">
      <w:pPr>
        <w:spacing w:line="480" w:lineRule="auto"/>
        <w:jc w:val="center"/>
        <w:rPr>
          <w:rFonts w:ascii="Times New Roman" w:hAnsi="Times New Roman" w:cs="Times New Roman"/>
          <w:sz w:val="24"/>
          <w:szCs w:val="24"/>
        </w:rPr>
      </w:pPr>
      <w:r>
        <w:rPr>
          <w:rFonts w:ascii="Times New Roman" w:hAnsi="Times New Roman" w:cs="Times New Roman"/>
          <w:sz w:val="24"/>
          <w:szCs w:val="24"/>
        </w:rPr>
        <w:t>Evidence Holding</w:t>
      </w:r>
    </w:p>
    <w:p w:rsidR="00892483" w:rsidRPr="00892483" w:rsidRDefault="00FC050E" w:rsidP="00892483">
      <w:pPr>
        <w:spacing w:line="480" w:lineRule="auto"/>
        <w:jc w:val="center"/>
        <w:rPr>
          <w:rFonts w:ascii="Times New Roman" w:hAnsi="Times New Roman" w:cs="Times New Roman"/>
          <w:sz w:val="24"/>
          <w:szCs w:val="24"/>
        </w:rPr>
      </w:pPr>
      <w:r w:rsidRPr="00892483">
        <w:rPr>
          <w:rFonts w:ascii="Times New Roman" w:hAnsi="Times New Roman" w:cs="Times New Roman"/>
          <w:sz w:val="24"/>
          <w:szCs w:val="24"/>
        </w:rPr>
        <w:t>Students Name</w:t>
      </w:r>
    </w:p>
    <w:p w:rsidR="00892483" w:rsidRPr="00892483" w:rsidRDefault="00FC050E" w:rsidP="00892483">
      <w:pPr>
        <w:spacing w:line="480" w:lineRule="auto"/>
        <w:jc w:val="center"/>
        <w:rPr>
          <w:rFonts w:ascii="Times New Roman" w:hAnsi="Times New Roman" w:cs="Times New Roman"/>
          <w:sz w:val="24"/>
          <w:szCs w:val="24"/>
        </w:rPr>
      </w:pPr>
      <w:r w:rsidRPr="00892483">
        <w:rPr>
          <w:rFonts w:ascii="Times New Roman" w:hAnsi="Times New Roman" w:cs="Times New Roman"/>
          <w:sz w:val="24"/>
          <w:szCs w:val="24"/>
        </w:rPr>
        <w:t>Institution</w:t>
      </w:r>
    </w:p>
    <w:p w:rsidR="00892483" w:rsidRPr="00892483" w:rsidRDefault="00FC050E" w:rsidP="00892483">
      <w:pPr>
        <w:spacing w:line="480" w:lineRule="auto"/>
        <w:jc w:val="center"/>
        <w:rPr>
          <w:rFonts w:ascii="Times New Roman" w:hAnsi="Times New Roman" w:cs="Times New Roman"/>
          <w:sz w:val="24"/>
          <w:szCs w:val="24"/>
        </w:rPr>
      </w:pPr>
      <w:r w:rsidRPr="00892483">
        <w:rPr>
          <w:rFonts w:ascii="Times New Roman" w:hAnsi="Times New Roman" w:cs="Times New Roman"/>
          <w:sz w:val="24"/>
          <w:szCs w:val="24"/>
        </w:rPr>
        <w:t>Date</w:t>
      </w: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892483" w:rsidP="00892483">
      <w:pPr>
        <w:spacing w:line="480" w:lineRule="auto"/>
        <w:jc w:val="center"/>
        <w:rPr>
          <w:rFonts w:ascii="Times New Roman" w:hAnsi="Times New Roman" w:cs="Times New Roman"/>
          <w:sz w:val="24"/>
          <w:szCs w:val="24"/>
        </w:rPr>
      </w:pPr>
    </w:p>
    <w:p w:rsidR="00892483" w:rsidRDefault="00FC050E" w:rsidP="008924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Evidence Holding</w:t>
      </w:r>
    </w:p>
    <w:p w:rsidR="00892483" w:rsidRDefault="00FC050E" w:rsidP="00892483">
      <w:pPr>
        <w:spacing w:line="480" w:lineRule="auto"/>
        <w:rPr>
          <w:rFonts w:ascii="Times New Roman" w:hAnsi="Times New Roman" w:cs="Times New Roman"/>
          <w:sz w:val="24"/>
          <w:szCs w:val="24"/>
        </w:rPr>
      </w:pPr>
      <w:r>
        <w:rPr>
          <w:rFonts w:ascii="Times New Roman" w:hAnsi="Times New Roman" w:cs="Times New Roman"/>
          <w:sz w:val="24"/>
          <w:szCs w:val="24"/>
        </w:rPr>
        <w:tab/>
        <w:t>In a justice system, clients are bound to suffer from holding exculpatory evidence from rogue prosecutors and even their defense attorneys working against their clients for their profits. Therefore, a prosecutor can destroy evidence of a defendant's guilt in various scenarios. When the compliant is influential and wants the case to be ruled in their favor, it is prone on prosecutors to be involved in the subject so that they can divert the court's decisions. Prosecutors should not destroy any evidence of a defendant's guilt, whether it affects the ruling or not, as it is grouped as evidence and therefore should be treated as so. This evidence may have an impact on the verdict, whether guilty or not guilty.</w:t>
      </w:r>
    </w:p>
    <w:p w:rsidR="00892483" w:rsidRDefault="00FC050E" w:rsidP="00892483">
      <w:pPr>
        <w:spacing w:line="480" w:lineRule="auto"/>
        <w:rPr>
          <w:rFonts w:ascii="Times New Roman" w:hAnsi="Times New Roman" w:cs="Times New Roman"/>
          <w:sz w:val="24"/>
          <w:szCs w:val="24"/>
        </w:rPr>
      </w:pPr>
      <w:r>
        <w:rPr>
          <w:rFonts w:ascii="Times New Roman" w:hAnsi="Times New Roman" w:cs="Times New Roman"/>
          <w:sz w:val="24"/>
          <w:szCs w:val="24"/>
        </w:rPr>
        <w:tab/>
        <w:t>A defense attorney, when has a client is cooperating enough and enabling a smooth flow of the trial, must ensure their client's innocence to be proved before a court of law. In scenarios where the client is holding information from the defense attorney or lying to cover up for whatever, the attorney can easily let their client be found guilty provided he has collected their service fee</w:t>
      </w:r>
      <w:r w:rsidR="00704B1B">
        <w:rPr>
          <w:rFonts w:ascii="Times New Roman" w:hAnsi="Times New Roman" w:cs="Times New Roman"/>
          <w:sz w:val="24"/>
          <w:szCs w:val="24"/>
        </w:rPr>
        <w:t xml:space="preserve"> (</w:t>
      </w:r>
      <w:r w:rsidR="00704B1B" w:rsidRPr="00704B1B">
        <w:rPr>
          <w:rFonts w:ascii="Times New Roman" w:hAnsi="Times New Roman" w:cs="Times New Roman"/>
          <w:color w:val="222222"/>
          <w:sz w:val="24"/>
          <w:szCs w:val="20"/>
          <w:shd w:val="clear" w:color="auto" w:fill="FFFFFF"/>
        </w:rPr>
        <w:t>NeMoyer</w:t>
      </w:r>
      <w:r w:rsidR="00704B1B">
        <w:rPr>
          <w:rFonts w:ascii="Times New Roman" w:hAnsi="Times New Roman" w:cs="Times New Roman"/>
          <w:color w:val="222222"/>
          <w:sz w:val="24"/>
          <w:szCs w:val="20"/>
          <w:shd w:val="clear" w:color="auto" w:fill="FFFFFF"/>
        </w:rPr>
        <w:t xml:space="preserve"> et al., 2018)</w:t>
      </w:r>
      <w:r>
        <w:rPr>
          <w:rFonts w:ascii="Times New Roman" w:hAnsi="Times New Roman" w:cs="Times New Roman"/>
          <w:sz w:val="24"/>
          <w:szCs w:val="24"/>
        </w:rPr>
        <w:t>. Defense attorneys find themselves allowing clients to be found guilty when the prosecutor's defense is overwhelming, and there is no way the accused can have a ruling of not guilty.</w:t>
      </w:r>
      <w:r w:rsidR="00C32FEB">
        <w:rPr>
          <w:rFonts w:ascii="Times New Roman" w:hAnsi="Times New Roman" w:cs="Times New Roman"/>
          <w:sz w:val="24"/>
          <w:szCs w:val="24"/>
        </w:rPr>
        <w:t xml:space="preserve"> The client will be guilty, and even their attorney might be unable t fight or vouch for their innocence</w:t>
      </w:r>
      <w:r w:rsidR="00704B1B">
        <w:rPr>
          <w:rFonts w:ascii="Times New Roman" w:hAnsi="Times New Roman" w:cs="Times New Roman"/>
          <w:sz w:val="24"/>
          <w:szCs w:val="24"/>
        </w:rPr>
        <w:t xml:space="preserve"> (</w:t>
      </w:r>
      <w:r w:rsidR="00704B1B" w:rsidRPr="00704B1B">
        <w:rPr>
          <w:rFonts w:ascii="Times New Roman" w:hAnsi="Times New Roman" w:cs="Times New Roman"/>
          <w:color w:val="222222"/>
          <w:sz w:val="24"/>
          <w:szCs w:val="20"/>
          <w:shd w:val="clear" w:color="auto" w:fill="FFFFFF"/>
        </w:rPr>
        <w:t>Sanders</w:t>
      </w:r>
      <w:r w:rsidR="00704B1B">
        <w:rPr>
          <w:rFonts w:ascii="Times New Roman" w:hAnsi="Times New Roman" w:cs="Times New Roman"/>
          <w:color w:val="222222"/>
          <w:sz w:val="24"/>
          <w:szCs w:val="20"/>
          <w:shd w:val="clear" w:color="auto" w:fill="FFFFFF"/>
        </w:rPr>
        <w:t>, 2019)</w:t>
      </w:r>
      <w:r w:rsidR="00C32FEB">
        <w:rPr>
          <w:rFonts w:ascii="Times New Roman" w:hAnsi="Times New Roman" w:cs="Times New Roman"/>
          <w:sz w:val="24"/>
          <w:szCs w:val="24"/>
        </w:rPr>
        <w:t>.</w:t>
      </w:r>
    </w:p>
    <w:p w:rsidR="00C32FEB" w:rsidRDefault="00FC050E" w:rsidP="0089248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public has their interpretation of the law as laypeople and might be forced to make comments on issues they hold little knowledge about. In a case where the people had a ruling of not guilty but turns out otherwise will get the public talking about the lack of fairness in the criminal system. Still, when a criminal in the public's eyes is sentenced, it's obvious they will have trust in convictions for public interest cases. When their evidence of destruction of evidence might or not impact the subject, there is a guarantee of public outcry of the judiciary's shortcomings and, therefore, less confidence in the criminal justice system. </w:t>
      </w:r>
      <w:r>
        <w:rPr>
          <w:rFonts w:ascii="Times New Roman" w:hAnsi="Times New Roman" w:cs="Times New Roman"/>
          <w:sz w:val="24"/>
          <w:szCs w:val="24"/>
        </w:rPr>
        <w:lastRenderedPageBreak/>
        <w:t>If an attorney undertakes their work diligently and the client is not cooperative, then the public will applaud the criminal system and crucify the client for their shortcomings.</w:t>
      </w:r>
    </w:p>
    <w:p w:rsidR="00892483" w:rsidRDefault="00FC050E" w:rsidP="00892483">
      <w:pPr>
        <w:spacing w:line="480" w:lineRule="auto"/>
        <w:rPr>
          <w:rFonts w:ascii="Times New Roman" w:hAnsi="Times New Roman" w:cs="Times New Roman"/>
          <w:sz w:val="24"/>
          <w:szCs w:val="24"/>
        </w:rPr>
      </w:pPr>
      <w:r>
        <w:rPr>
          <w:rFonts w:ascii="Times New Roman" w:hAnsi="Times New Roman" w:cs="Times New Roman"/>
          <w:sz w:val="24"/>
          <w:szCs w:val="24"/>
        </w:rPr>
        <w:tab/>
      </w:r>
    </w:p>
    <w:p w:rsidR="00892483" w:rsidRDefault="00FC050E" w:rsidP="00892483">
      <w:pPr>
        <w:spacing w:line="480" w:lineRule="auto"/>
        <w:rPr>
          <w:rFonts w:ascii="Times New Roman" w:hAnsi="Times New Roman" w:cs="Times New Roman"/>
          <w:sz w:val="24"/>
          <w:szCs w:val="24"/>
        </w:rPr>
      </w:pPr>
      <w:r>
        <w:rPr>
          <w:rFonts w:ascii="Times New Roman" w:hAnsi="Times New Roman" w:cs="Times New Roman"/>
          <w:sz w:val="24"/>
          <w:szCs w:val="24"/>
        </w:rPr>
        <w:tab/>
      </w: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Default="00704B1B" w:rsidP="00892483">
      <w:pPr>
        <w:spacing w:line="480" w:lineRule="auto"/>
        <w:rPr>
          <w:rFonts w:ascii="Times New Roman" w:hAnsi="Times New Roman" w:cs="Times New Roman"/>
          <w:sz w:val="24"/>
          <w:szCs w:val="24"/>
        </w:rPr>
      </w:pPr>
    </w:p>
    <w:p w:rsidR="00704B1B" w:rsidRPr="00704B1B" w:rsidRDefault="00704B1B" w:rsidP="00704B1B">
      <w:pPr>
        <w:spacing w:line="480" w:lineRule="auto"/>
        <w:jc w:val="center"/>
        <w:rPr>
          <w:rFonts w:ascii="Times New Roman" w:hAnsi="Times New Roman" w:cs="Times New Roman"/>
          <w:color w:val="222222"/>
          <w:sz w:val="24"/>
          <w:szCs w:val="20"/>
          <w:shd w:val="clear" w:color="auto" w:fill="FFFFFF"/>
        </w:rPr>
      </w:pPr>
      <w:r w:rsidRPr="00704B1B">
        <w:rPr>
          <w:rFonts w:ascii="Times New Roman" w:hAnsi="Times New Roman" w:cs="Times New Roman"/>
          <w:color w:val="222222"/>
          <w:sz w:val="24"/>
          <w:szCs w:val="20"/>
          <w:shd w:val="clear" w:color="auto" w:fill="FFFFFF"/>
        </w:rPr>
        <w:lastRenderedPageBreak/>
        <w:t xml:space="preserve">References </w:t>
      </w:r>
    </w:p>
    <w:p w:rsidR="00704B1B" w:rsidRPr="00704B1B" w:rsidRDefault="00704B1B" w:rsidP="00704B1B">
      <w:pPr>
        <w:spacing w:line="480" w:lineRule="auto"/>
        <w:ind w:left="720" w:hanging="720"/>
        <w:rPr>
          <w:rFonts w:ascii="Times New Roman" w:hAnsi="Times New Roman" w:cs="Times New Roman"/>
          <w:sz w:val="32"/>
          <w:szCs w:val="24"/>
        </w:rPr>
      </w:pPr>
      <w:r w:rsidRPr="00704B1B">
        <w:rPr>
          <w:rFonts w:ascii="Times New Roman" w:hAnsi="Times New Roman" w:cs="Times New Roman"/>
          <w:color w:val="222222"/>
          <w:sz w:val="24"/>
          <w:szCs w:val="20"/>
          <w:shd w:val="clear" w:color="auto" w:fill="FFFFFF"/>
        </w:rPr>
        <w:t>NeMoyer, A., Kelley, S., Zelle, H., &amp; Goldstein, N. E. (2018). Attorney perspectives on juvenile and adult clients’ competence to plead guilty. </w:t>
      </w:r>
      <w:r w:rsidRPr="00704B1B">
        <w:rPr>
          <w:rFonts w:ascii="Times New Roman" w:hAnsi="Times New Roman" w:cs="Times New Roman"/>
          <w:i/>
          <w:iCs/>
          <w:color w:val="222222"/>
          <w:sz w:val="24"/>
          <w:szCs w:val="20"/>
          <w:shd w:val="clear" w:color="auto" w:fill="FFFFFF"/>
        </w:rPr>
        <w:t>Psychology, Public Policy, and Law</w:t>
      </w:r>
      <w:r w:rsidRPr="00704B1B">
        <w:rPr>
          <w:rFonts w:ascii="Times New Roman" w:hAnsi="Times New Roman" w:cs="Times New Roman"/>
          <w:color w:val="222222"/>
          <w:sz w:val="24"/>
          <w:szCs w:val="20"/>
          <w:shd w:val="clear" w:color="auto" w:fill="FFFFFF"/>
        </w:rPr>
        <w:t>, </w:t>
      </w:r>
      <w:r w:rsidRPr="00704B1B">
        <w:rPr>
          <w:rFonts w:ascii="Times New Roman" w:hAnsi="Times New Roman" w:cs="Times New Roman"/>
          <w:i/>
          <w:iCs/>
          <w:color w:val="222222"/>
          <w:sz w:val="24"/>
          <w:szCs w:val="20"/>
          <w:shd w:val="clear" w:color="auto" w:fill="FFFFFF"/>
        </w:rPr>
        <w:t>24</w:t>
      </w:r>
      <w:r w:rsidRPr="00704B1B">
        <w:rPr>
          <w:rFonts w:ascii="Times New Roman" w:hAnsi="Times New Roman" w:cs="Times New Roman"/>
          <w:color w:val="222222"/>
          <w:sz w:val="24"/>
          <w:szCs w:val="20"/>
          <w:shd w:val="clear" w:color="auto" w:fill="FFFFFF"/>
        </w:rPr>
        <w:t>(2), 171.</w:t>
      </w:r>
    </w:p>
    <w:p w:rsidR="00704B1B" w:rsidRPr="00704B1B" w:rsidRDefault="00704B1B" w:rsidP="00704B1B">
      <w:pPr>
        <w:spacing w:line="480" w:lineRule="auto"/>
        <w:ind w:left="720" w:hanging="720"/>
        <w:rPr>
          <w:rFonts w:ascii="Times New Roman" w:hAnsi="Times New Roman" w:cs="Times New Roman"/>
          <w:color w:val="222222"/>
          <w:sz w:val="24"/>
          <w:szCs w:val="20"/>
          <w:shd w:val="clear" w:color="auto" w:fill="FFFFFF"/>
        </w:rPr>
      </w:pPr>
      <w:r w:rsidRPr="00704B1B">
        <w:rPr>
          <w:rFonts w:ascii="Times New Roman" w:hAnsi="Times New Roman" w:cs="Times New Roman"/>
          <w:color w:val="222222"/>
          <w:sz w:val="24"/>
          <w:szCs w:val="20"/>
          <w:shd w:val="clear" w:color="auto" w:fill="FFFFFF"/>
        </w:rPr>
        <w:t>Sanders, B. (2019). Exculpatory Evidence Pre-plea without Extending Brady. </w:t>
      </w:r>
      <w:r w:rsidRPr="00704B1B">
        <w:rPr>
          <w:rFonts w:ascii="Times New Roman" w:hAnsi="Times New Roman" w:cs="Times New Roman"/>
          <w:i/>
          <w:iCs/>
          <w:color w:val="222222"/>
          <w:sz w:val="24"/>
          <w:szCs w:val="20"/>
          <w:shd w:val="clear" w:color="auto" w:fill="FFFFFF"/>
        </w:rPr>
        <w:t>The University of Chicago Law Review</w:t>
      </w:r>
      <w:r w:rsidRPr="00704B1B">
        <w:rPr>
          <w:rFonts w:ascii="Times New Roman" w:hAnsi="Times New Roman" w:cs="Times New Roman"/>
          <w:color w:val="222222"/>
          <w:sz w:val="24"/>
          <w:szCs w:val="20"/>
          <w:shd w:val="clear" w:color="auto" w:fill="FFFFFF"/>
        </w:rPr>
        <w:t>, </w:t>
      </w:r>
      <w:r w:rsidRPr="00704B1B">
        <w:rPr>
          <w:rFonts w:ascii="Times New Roman" w:hAnsi="Times New Roman" w:cs="Times New Roman"/>
          <w:i/>
          <w:iCs/>
          <w:color w:val="222222"/>
          <w:sz w:val="24"/>
          <w:szCs w:val="20"/>
          <w:shd w:val="clear" w:color="auto" w:fill="FFFFFF"/>
        </w:rPr>
        <w:t>86</w:t>
      </w:r>
      <w:r w:rsidRPr="00704B1B">
        <w:rPr>
          <w:rFonts w:ascii="Times New Roman" w:hAnsi="Times New Roman" w:cs="Times New Roman"/>
          <w:color w:val="222222"/>
          <w:sz w:val="24"/>
          <w:szCs w:val="20"/>
          <w:shd w:val="clear" w:color="auto" w:fill="FFFFFF"/>
        </w:rPr>
        <w:t>(8), 2243-2300.</w:t>
      </w:r>
    </w:p>
    <w:sectPr w:rsidR="00704B1B" w:rsidRPr="00704B1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79" w:rsidRDefault="00B67579">
      <w:pPr>
        <w:spacing w:after="0" w:line="240" w:lineRule="auto"/>
      </w:pPr>
      <w:r>
        <w:separator/>
      </w:r>
    </w:p>
  </w:endnote>
  <w:endnote w:type="continuationSeparator" w:id="0">
    <w:p w:rsidR="00B67579" w:rsidRDefault="00B6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79" w:rsidRDefault="00B67579">
      <w:pPr>
        <w:spacing w:after="0" w:line="240" w:lineRule="auto"/>
      </w:pPr>
      <w:r>
        <w:separator/>
      </w:r>
    </w:p>
  </w:footnote>
  <w:footnote w:type="continuationSeparator" w:id="0">
    <w:p w:rsidR="00B67579" w:rsidRDefault="00B67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840779"/>
      <w:docPartObj>
        <w:docPartGallery w:val="Page Numbers (Top of Page)"/>
        <w:docPartUnique/>
      </w:docPartObj>
    </w:sdtPr>
    <w:sdtEndPr>
      <w:rPr>
        <w:rFonts w:ascii="Times New Roman" w:hAnsi="Times New Roman" w:cs="Times New Roman"/>
        <w:noProof/>
        <w:sz w:val="24"/>
        <w:szCs w:val="24"/>
      </w:rPr>
    </w:sdtEndPr>
    <w:sdtContent>
      <w:p w:rsidR="00892483" w:rsidRPr="00892483" w:rsidRDefault="00FC050E" w:rsidP="00892483">
        <w:pPr>
          <w:pStyle w:val="Header"/>
          <w:spacing w:line="480" w:lineRule="auto"/>
          <w:jc w:val="right"/>
          <w:rPr>
            <w:rFonts w:ascii="Times New Roman" w:hAnsi="Times New Roman" w:cs="Times New Roman"/>
            <w:sz w:val="24"/>
            <w:szCs w:val="24"/>
          </w:rPr>
        </w:pPr>
        <w:r w:rsidRPr="00892483">
          <w:rPr>
            <w:rFonts w:ascii="Times New Roman" w:hAnsi="Times New Roman" w:cs="Times New Roman"/>
            <w:sz w:val="24"/>
            <w:szCs w:val="24"/>
          </w:rPr>
          <w:fldChar w:fldCharType="begin"/>
        </w:r>
        <w:r w:rsidRPr="00892483">
          <w:rPr>
            <w:rFonts w:ascii="Times New Roman" w:hAnsi="Times New Roman" w:cs="Times New Roman"/>
            <w:sz w:val="24"/>
            <w:szCs w:val="24"/>
          </w:rPr>
          <w:instrText xml:space="preserve"> PAGE   \* MERGEFORMAT </w:instrText>
        </w:r>
        <w:r w:rsidRPr="00892483">
          <w:rPr>
            <w:rFonts w:ascii="Times New Roman" w:hAnsi="Times New Roman" w:cs="Times New Roman"/>
            <w:sz w:val="24"/>
            <w:szCs w:val="24"/>
          </w:rPr>
          <w:fldChar w:fldCharType="separate"/>
        </w:r>
        <w:r w:rsidR="007E1B57">
          <w:rPr>
            <w:rFonts w:ascii="Times New Roman" w:hAnsi="Times New Roman" w:cs="Times New Roman"/>
            <w:noProof/>
            <w:sz w:val="24"/>
            <w:szCs w:val="24"/>
          </w:rPr>
          <w:t>1</w:t>
        </w:r>
        <w:r w:rsidRPr="00892483">
          <w:rPr>
            <w:rFonts w:ascii="Times New Roman" w:hAnsi="Times New Roman" w:cs="Times New Roman"/>
            <w:noProof/>
            <w:sz w:val="24"/>
            <w:szCs w:val="24"/>
          </w:rPr>
          <w:fldChar w:fldCharType="end"/>
        </w:r>
      </w:p>
    </w:sdtContent>
  </w:sdt>
  <w:p w:rsidR="00892483" w:rsidRDefault="00892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NLI0NjMzsrAwtjRV0lEKTi0uzszPAykwrAUAUO+yOywAAAA="/>
  </w:docVars>
  <w:rsids>
    <w:rsidRoot w:val="00892483"/>
    <w:rsid w:val="00295A28"/>
    <w:rsid w:val="00704B1B"/>
    <w:rsid w:val="007E1B57"/>
    <w:rsid w:val="00892483"/>
    <w:rsid w:val="008B64E9"/>
    <w:rsid w:val="008F06B8"/>
    <w:rsid w:val="00B04B95"/>
    <w:rsid w:val="00B305B0"/>
    <w:rsid w:val="00B67579"/>
    <w:rsid w:val="00C32FEB"/>
    <w:rsid w:val="00FC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483"/>
  </w:style>
  <w:style w:type="paragraph" w:styleId="Footer">
    <w:name w:val="footer"/>
    <w:basedOn w:val="Normal"/>
    <w:link w:val="FooterChar"/>
    <w:uiPriority w:val="99"/>
    <w:unhideWhenUsed/>
    <w:rsid w:val="00892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2021-04-11T11:10:00Z</dcterms:created>
  <dcterms:modified xsi:type="dcterms:W3CDTF">2021-04-11T11:10:00Z</dcterms:modified>
</cp:coreProperties>
</file>